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Admissions &amp; Records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admissions and enrollment of International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enrollment of International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 2024-25, 2025-26</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Increasing International enrollment remains a difficult challenge for the entire country and Mt. SAC is not any different.  We remain hopeful that the Visa issues related to the pandemic will lessen and we will be able to enjoy an increase in international enrollment.  The unit has worked hard to increase our partnerships with international recruiters and has initiated several promising initiatives that can bring enrollment numbers back up.</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COVID-19 and international immigration policy we were unable to increase international student enrollment.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SEVP restrictions and the worldwide pandemic our efforts to increase the international student population was met with limited success.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International enrollment has remained flat due to current political climate with China and other top feeder countries.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Develop an Online International Students Application Process, eliminating the paper application.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Testing and implementation completed Spring 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Assessment Questionnaire Research - Research the effectiveness of the AQ related to student placement and success in courses students are placed in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AQ is generally favorably looked upon by both students and faculty members alike.  Moreover, the total throughput (i.e., more students completing transfer level English and mathematics) is having the desired effect.  Although, racial inequities still exist and may be widening.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is ongoing.  However, the AQ placement and distribution dat is now available via the assessment website.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assessment and matriculation committee has received extensive feedback and continues to work on finalizing the appropriate metrics to determine the appropriateness of the AQ2 in meeting the campuses placement goals.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Customer Service Continue to improve processes which will help us better serve students.  Given the changing landscape around AB705 and Mt. SAC's evolving implementation, it is important for assessment to take an active role in helping inform the campus of the new assessment processes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department conducted training on how to effectively utilize new office business processes related to Smartsheet and AdobeSign technologies.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A&amp;R office with the help of IT  was able to successfully implement and AdobeSign/ Smartsheet document intake, tracking and imaging business process that allows students, faculty and departments to submit required forms.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Professional Development Opportunities for Staff Ensure adequate funding for managers and front line staff to attend local, regional and national professional development opportunities.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Although participation in professional development was limited this cycle (both due to lack of conferences and lack of internal interest), we anticipate increased involvement in the upcoming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Professional development resources were limited due to COVID-19 restrictions.  However, there were a handful of virtual conferences attended by staff members.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the pandemic, opportunities for professional development outside of technological advancement were limited.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 Improve storage capacity for records.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Issue still remains due to COVID-19 concerns, research in this area was limited.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F-1 Student Outreach and Recruitment - To increase the number of overseas and local recruitment trips in an effort to boost international student enrollment.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Campus wide hiring "frost" limited any progress in this area.</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