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A8561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26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332856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962AE2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962AE2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962AE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962AE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962AE2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962AE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962AE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E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962AE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962AE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962AE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EB1CB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962AE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962AE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Mohamad </w:t>
      </w:r>
      <w:proofErr w:type="spellStart"/>
      <w:proofErr w:type="gramStart"/>
      <w:r>
        <w:rPr>
          <w:rFonts w:asciiTheme="majorHAnsi" w:hAnsiTheme="majorHAnsi" w:cstheme="minorHAnsi"/>
          <w:sz w:val="18"/>
          <w:u w:val="none"/>
        </w:rPr>
        <w:t>Almouazzen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F11141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12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  <w:r w:rsidR="0022122D">
              <w:rPr>
                <w:rFonts w:asciiTheme="majorHAnsi" w:hAnsiTheme="majorHAnsi" w:cstheme="majorHAnsi"/>
                <w:sz w:val="20"/>
                <w:szCs w:val="20"/>
              </w:rPr>
              <w:t xml:space="preserve"> (approved)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012756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451C38" w:rsidRDefault="00451C38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19,2020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511467" w:rsidRPr="00451C38" w:rsidRDefault="00451C38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May 5,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012756" w:rsidRDefault="00012756" w:rsidP="00C0159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add EDC minutes for May 26, 2020, and the Subcommittee for GE and Transfer report for 2020. Motion approved.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7D1A79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Default="007D1A79" w:rsidP="000127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. </w:t>
            </w:r>
            <w:r w:rsidR="00012756">
              <w:rPr>
                <w:rFonts w:ascii="Calibri" w:hAnsi="Calibri" w:cs="Calibri"/>
                <w:szCs w:val="20"/>
              </w:rPr>
              <w:t>Accepted</w:t>
            </w:r>
          </w:p>
          <w:p w:rsidR="00012756" w:rsidRDefault="00012756" w:rsidP="007D1A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EDC minutes for May 26, 2020. Accepted</w:t>
            </w:r>
          </w:p>
          <w:p w:rsidR="00C36EFB" w:rsidRPr="007D1A79" w:rsidRDefault="00C36EFB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38525F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8525F" w:rsidRDefault="00012756" w:rsidP="003852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012756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2020 IGETC GE Transfer Curriculum and CSU GE Review Decisions. Accepted.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Default="007B2D27" w:rsidP="00451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8F5252" w:rsidRPr="00451C38" w:rsidRDefault="00451C38" w:rsidP="00451C38">
            <w:pPr>
              <w:rPr>
                <w:rFonts w:asciiTheme="majorHAnsi" w:hAnsiTheme="majorHAnsi" w:cstheme="majorHAnsi"/>
                <w:b/>
                <w:sz w:val="22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                   1. </w:t>
            </w:r>
            <w:r w:rsidR="008F5252" w:rsidRPr="00451C38">
              <w:rPr>
                <w:rFonts w:asciiTheme="majorHAnsi" w:hAnsiTheme="majorHAnsi" w:cstheme="majorHAnsi"/>
                <w:szCs w:val="20"/>
                <w:u w:val="none"/>
              </w:rPr>
              <w:t xml:space="preserve">Catalog Fall Effective Date – </w:t>
            </w:r>
            <w:r w:rsidR="001E14DB" w:rsidRPr="00451C38">
              <w:rPr>
                <w:rFonts w:asciiTheme="majorHAnsi" w:hAnsiTheme="majorHAnsi" w:cstheme="majorHAnsi"/>
                <w:szCs w:val="20"/>
                <w:u w:val="none"/>
              </w:rPr>
              <w:t xml:space="preserve"> J. Fowler</w:t>
            </w:r>
          </w:p>
          <w:p w:rsidR="00DE25AE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 w:rsidR="00DE25AE" w:rsidRPr="00DE25AE">
              <w:rPr>
                <w:rFonts w:asciiTheme="majorHAnsi" w:hAnsiTheme="majorHAnsi" w:cstheme="majorHAnsi"/>
                <w:sz w:val="20"/>
                <w:szCs w:val="20"/>
              </w:rPr>
              <w:t>Courses and Programs Listed in Catalog Not Offered within 2 years</w:t>
            </w:r>
            <w:r w:rsidR="00DE25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245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DE25AE">
              <w:rPr>
                <w:rFonts w:asciiTheme="majorHAnsi" w:hAnsiTheme="majorHAnsi" w:cstheme="majorHAnsi"/>
                <w:sz w:val="20"/>
                <w:szCs w:val="20"/>
              </w:rPr>
              <w:t>J. Fowler</w:t>
            </w:r>
          </w:p>
          <w:p w:rsidR="00DA55BB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  <w:r w:rsidR="00452B00">
              <w:rPr>
                <w:rFonts w:asciiTheme="majorHAnsi" w:hAnsiTheme="majorHAnsi" w:cstheme="majorHAnsi"/>
                <w:sz w:val="20"/>
                <w:szCs w:val="20"/>
              </w:rPr>
              <w:t>. AP 4051</w:t>
            </w:r>
            <w:r w:rsidR="004B14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739">
              <w:rPr>
                <w:rFonts w:asciiTheme="majorHAnsi" w:hAnsiTheme="majorHAnsi" w:cstheme="majorHAnsi"/>
                <w:sz w:val="20"/>
                <w:szCs w:val="20"/>
              </w:rPr>
              <w:t>Course Equivalencies and Variances</w:t>
            </w:r>
            <w:r w:rsidR="00425FA9">
              <w:rPr>
                <w:rFonts w:asciiTheme="majorHAnsi" w:hAnsiTheme="majorHAnsi" w:cstheme="majorHAnsi"/>
                <w:sz w:val="20"/>
                <w:szCs w:val="20"/>
              </w:rPr>
              <w:t>– K. Allende</w:t>
            </w:r>
          </w:p>
          <w:p w:rsidR="00451C38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Outcomes Committed Goals and Objectives. -  L. Ng</w:t>
            </w:r>
            <w:r w:rsidR="00F11141">
              <w:rPr>
                <w:rFonts w:asciiTheme="majorHAnsi" w:hAnsiTheme="majorHAnsi" w:cstheme="majorHAnsi"/>
                <w:sz w:val="20"/>
                <w:szCs w:val="20"/>
              </w:rPr>
              <w:t>uy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</w:p>
          <w:p w:rsidR="00451C38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 EDC Goals and Objectives – K. Allende</w:t>
            </w:r>
          </w:p>
          <w:p w:rsidR="00F11141" w:rsidRDefault="00F11141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 C&amp;I Goals and Outcomes – K. Allende</w:t>
            </w:r>
          </w:p>
          <w:p w:rsidR="00451C38" w:rsidRPr="00451C38" w:rsidRDefault="00451C38" w:rsidP="00451C3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6F0419" w:rsidRDefault="00012756" w:rsidP="00E442F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Jamaika presented a </w:t>
            </w:r>
            <w:r w:rsidR="0095490C">
              <w:rPr>
                <w:rFonts w:ascii="Calibri" w:hAnsi="Calibri" w:cs="Calibri"/>
                <w:szCs w:val="20"/>
              </w:rPr>
              <w:t>proposal that illustrates the concerns about</w:t>
            </w:r>
            <w:r>
              <w:rPr>
                <w:rFonts w:ascii="Calibri" w:hAnsi="Calibri" w:cs="Calibri"/>
                <w:szCs w:val="20"/>
              </w:rPr>
              <w:t xml:space="preserve"> and the</w:t>
            </w:r>
            <w:r w:rsidR="0095490C">
              <w:rPr>
                <w:rFonts w:ascii="Calibri" w:hAnsi="Calibri" w:cs="Calibri"/>
                <w:szCs w:val="20"/>
              </w:rPr>
              <w:t xml:space="preserve"> actual availability of the catalog</w:t>
            </w:r>
            <w:r w:rsidR="00E442F5">
              <w:rPr>
                <w:rFonts w:ascii="Calibri" w:hAnsi="Calibri" w:cs="Calibri"/>
                <w:szCs w:val="20"/>
              </w:rPr>
              <w:t xml:space="preserve"> (</w:t>
            </w:r>
            <w:r w:rsidR="00062126">
              <w:rPr>
                <w:rFonts w:ascii="Calibri" w:hAnsi="Calibri" w:cs="Calibri"/>
                <w:szCs w:val="20"/>
              </w:rPr>
              <w:t>far</w:t>
            </w:r>
            <w:r w:rsidR="00E442F5">
              <w:rPr>
                <w:rFonts w:ascii="Calibri" w:hAnsi="Calibri" w:cs="Calibri"/>
                <w:szCs w:val="20"/>
              </w:rPr>
              <w:t xml:space="preserve"> into the summer </w:t>
            </w:r>
            <w:r w:rsidR="00E442F5">
              <w:rPr>
                <w:rFonts w:ascii="Calibri" w:hAnsi="Calibri" w:cs="Calibri"/>
                <w:szCs w:val="20"/>
              </w:rPr>
              <w:lastRenderedPageBreak/>
              <w:t>intersession)</w:t>
            </w:r>
            <w:r w:rsidR="0095490C">
              <w:rPr>
                <w:rFonts w:ascii="Calibri" w:hAnsi="Calibri" w:cs="Calibri"/>
                <w:szCs w:val="20"/>
              </w:rPr>
              <w:t>, which does not help counselors to serve students. New programs and courses were not available while advising for summer. Additionally</w:t>
            </w:r>
            <w:r w:rsidR="00062126">
              <w:rPr>
                <w:rFonts w:ascii="Calibri" w:hAnsi="Calibri" w:cs="Calibri"/>
                <w:szCs w:val="20"/>
              </w:rPr>
              <w:t>,</w:t>
            </w:r>
            <w:r w:rsidR="00E442F5">
              <w:rPr>
                <w:rFonts w:ascii="Calibri" w:hAnsi="Calibri" w:cs="Calibri"/>
                <w:szCs w:val="20"/>
              </w:rPr>
              <w:t xml:space="preserve"> an amendment to AP 4027 Catalog Rights is proposed. It </w:t>
            </w:r>
            <w:r w:rsidR="0095490C">
              <w:rPr>
                <w:rFonts w:ascii="Calibri" w:hAnsi="Calibri" w:cs="Calibri"/>
                <w:szCs w:val="20"/>
              </w:rPr>
              <w:t xml:space="preserve">does not allow students to </w:t>
            </w:r>
            <w:r w:rsidR="00062126">
              <w:rPr>
                <w:rFonts w:ascii="Calibri" w:hAnsi="Calibri" w:cs="Calibri"/>
                <w:szCs w:val="20"/>
              </w:rPr>
              <w:t>e</w:t>
            </w:r>
            <w:r w:rsidR="0095490C">
              <w:rPr>
                <w:rFonts w:ascii="Calibri" w:hAnsi="Calibri" w:cs="Calibri"/>
                <w:szCs w:val="20"/>
              </w:rPr>
              <w:t>stablish catalog rights</w:t>
            </w:r>
            <w:r w:rsidR="00E442F5">
              <w:rPr>
                <w:rFonts w:ascii="Calibri" w:hAnsi="Calibri" w:cs="Calibri"/>
                <w:szCs w:val="20"/>
              </w:rPr>
              <w:t xml:space="preserve"> during summer or winter</w:t>
            </w:r>
            <w:r w:rsidR="0095490C">
              <w:rPr>
                <w:rFonts w:ascii="Calibri" w:hAnsi="Calibri" w:cs="Calibri"/>
                <w:szCs w:val="20"/>
              </w:rPr>
              <w:t xml:space="preserve"> since it </w:t>
            </w:r>
            <w:r w:rsidR="00E442F5">
              <w:rPr>
                <w:rFonts w:ascii="Calibri" w:hAnsi="Calibri" w:cs="Calibri"/>
                <w:szCs w:val="20"/>
              </w:rPr>
              <w:t>states ‘intersession attendance does not apply towards catalog rights’</w:t>
            </w:r>
            <w:r w:rsidR="006F0419">
              <w:rPr>
                <w:rFonts w:ascii="Calibri" w:hAnsi="Calibri" w:cs="Calibri"/>
                <w:szCs w:val="20"/>
              </w:rPr>
              <w:t>.</w:t>
            </w:r>
          </w:p>
          <w:p w:rsidR="0095490C" w:rsidRDefault="00E442F5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E442F5" w:rsidRDefault="00E442F5" w:rsidP="00E442F5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Faculty whose programs start in summer are in full support for a catalog fall.</w:t>
            </w:r>
          </w:p>
          <w:p w:rsidR="006F0419" w:rsidRDefault="006F0419" w:rsidP="00E442F5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E442F5" w:rsidRDefault="006F0419" w:rsidP="00E442F5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forward the</w:t>
            </w:r>
            <w:r w:rsidR="00E442F5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e</w:t>
            </w:r>
            <w:r w:rsidR="00E442F5">
              <w:rPr>
                <w:rFonts w:ascii="Calibri" w:hAnsi="Calibri" w:cs="Calibri"/>
                <w:szCs w:val="20"/>
              </w:rPr>
              <w:t xml:space="preserve"> items to Senate and th</w:t>
            </w:r>
            <w:r w:rsidR="00062126">
              <w:rPr>
                <w:rFonts w:ascii="Calibri" w:hAnsi="Calibri" w:cs="Calibri"/>
                <w:szCs w:val="20"/>
              </w:rPr>
              <w:t>e amendment to AP 4027 Catalog R</w:t>
            </w:r>
            <w:bookmarkStart w:id="0" w:name="_GoBack"/>
            <w:bookmarkEnd w:id="0"/>
            <w:r w:rsidR="00E442F5">
              <w:rPr>
                <w:rFonts w:ascii="Calibri" w:hAnsi="Calibri" w:cs="Calibri"/>
                <w:szCs w:val="20"/>
              </w:rPr>
              <w:t xml:space="preserve">ights highlighted in yellow. Approved with one </w:t>
            </w:r>
            <w:r w:rsidR="00717739">
              <w:rPr>
                <w:rFonts w:ascii="Calibri" w:hAnsi="Calibri" w:cs="Calibri"/>
                <w:szCs w:val="20"/>
              </w:rPr>
              <w:t>abstention</w:t>
            </w:r>
            <w:r w:rsidR="00E442F5">
              <w:rPr>
                <w:rFonts w:ascii="Calibri" w:hAnsi="Calibri" w:cs="Calibri"/>
                <w:szCs w:val="20"/>
              </w:rPr>
              <w:t>.</w:t>
            </w:r>
          </w:p>
          <w:p w:rsidR="006F0419" w:rsidRDefault="006F0419" w:rsidP="00E442F5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Kept on agenda. AP 4020 Program and Curriculum D</w:t>
            </w:r>
            <w:r w:rsidR="006F0419">
              <w:rPr>
                <w:rFonts w:ascii="Calibri" w:hAnsi="Calibri" w:cs="Calibri"/>
                <w:szCs w:val="20"/>
              </w:rPr>
              <w:t xml:space="preserve">evelopment </w:t>
            </w:r>
            <w:proofErr w:type="gramStart"/>
            <w:r w:rsidR="006F0419">
              <w:rPr>
                <w:rFonts w:ascii="Calibri" w:hAnsi="Calibri" w:cs="Calibri"/>
                <w:szCs w:val="20"/>
              </w:rPr>
              <w:t>will be reviewed</w:t>
            </w:r>
            <w:proofErr w:type="gramEnd"/>
            <w:r w:rsidR="006F0419">
              <w:rPr>
                <w:rFonts w:ascii="Calibri" w:hAnsi="Calibri" w:cs="Calibri"/>
                <w:szCs w:val="20"/>
              </w:rPr>
              <w:t xml:space="preserve"> in f</w:t>
            </w:r>
            <w:r>
              <w:rPr>
                <w:rFonts w:ascii="Calibri" w:hAnsi="Calibri" w:cs="Calibri"/>
                <w:szCs w:val="20"/>
              </w:rPr>
              <w:t>all</w:t>
            </w:r>
            <w:r w:rsidR="006F0419">
              <w:rPr>
                <w:rFonts w:ascii="Calibri" w:hAnsi="Calibri" w:cs="Calibri"/>
                <w:szCs w:val="20"/>
              </w:rPr>
              <w:t>.</w:t>
            </w:r>
          </w:p>
          <w:p w:rsidR="006F0419" w:rsidRDefault="006F0419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Kept on agenda.</w:t>
            </w:r>
          </w:p>
          <w:p w:rsidR="006F0419" w:rsidRPr="006F0419" w:rsidRDefault="006F0419" w:rsidP="006F0419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6F0419" w:rsidRDefault="006F0419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 to forward to Senate</w:t>
            </w:r>
          </w:p>
          <w:p w:rsidR="006F0419" w:rsidRDefault="006F0419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 to forward to Senate</w:t>
            </w:r>
          </w:p>
          <w:p w:rsidR="006F0419" w:rsidRPr="006F0419" w:rsidRDefault="006F0419" w:rsidP="006F0419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6F0419" w:rsidRDefault="006F0419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 to forward to Senate</w:t>
            </w:r>
          </w:p>
          <w:p w:rsidR="006F0419" w:rsidRDefault="006F0419" w:rsidP="006F0419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717739" w:rsidRPr="00717739" w:rsidRDefault="00717739" w:rsidP="007177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Distance Learning Committee Goals and Objectives and forward it to Senate.  Approved.</w:t>
            </w:r>
          </w:p>
          <w:p w:rsidR="00E442F5" w:rsidRPr="00012756" w:rsidRDefault="00E442F5" w:rsidP="00E442F5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451C3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:rsidR="007B2D27" w:rsidRPr="00DE25AE" w:rsidRDefault="00A26378" w:rsidP="00DE25A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Cs w:val="20"/>
              </w:rPr>
            </w:pP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Course Articulation/Varia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 Review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2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8"/>
  </w:num>
  <w:num w:numId="2">
    <w:abstractNumId w:val="19"/>
  </w:num>
  <w:num w:numId="3">
    <w:abstractNumId w:val="40"/>
  </w:num>
  <w:num w:numId="4">
    <w:abstractNumId w:val="6"/>
  </w:num>
  <w:num w:numId="5">
    <w:abstractNumId w:val="5"/>
  </w:num>
  <w:num w:numId="6">
    <w:abstractNumId w:val="21"/>
  </w:num>
  <w:num w:numId="7">
    <w:abstractNumId w:val="23"/>
  </w:num>
  <w:num w:numId="8">
    <w:abstractNumId w:val="15"/>
  </w:num>
  <w:num w:numId="9">
    <w:abstractNumId w:val="8"/>
  </w:num>
  <w:num w:numId="10">
    <w:abstractNumId w:val="41"/>
  </w:num>
  <w:num w:numId="11">
    <w:abstractNumId w:val="37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5"/>
  </w:num>
  <w:num w:numId="17">
    <w:abstractNumId w:val="7"/>
  </w:num>
  <w:num w:numId="18">
    <w:abstractNumId w:val="33"/>
  </w:num>
  <w:num w:numId="19">
    <w:abstractNumId w:val="36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9"/>
  </w:num>
  <w:num w:numId="25">
    <w:abstractNumId w:val="29"/>
  </w:num>
  <w:num w:numId="26">
    <w:abstractNumId w:val="0"/>
  </w:num>
  <w:num w:numId="27">
    <w:abstractNumId w:val="24"/>
  </w:num>
  <w:num w:numId="28">
    <w:abstractNumId w:val="28"/>
  </w:num>
  <w:num w:numId="29">
    <w:abstractNumId w:val="34"/>
  </w:num>
  <w:num w:numId="30">
    <w:abstractNumId w:val="17"/>
  </w:num>
  <w:num w:numId="31">
    <w:abstractNumId w:val="14"/>
  </w:num>
  <w:num w:numId="32">
    <w:abstractNumId w:val="22"/>
  </w:num>
  <w:num w:numId="33">
    <w:abstractNumId w:val="16"/>
  </w:num>
  <w:num w:numId="34">
    <w:abstractNumId w:val="2"/>
  </w:num>
  <w:num w:numId="35">
    <w:abstractNumId w:val="30"/>
  </w:num>
  <w:num w:numId="36">
    <w:abstractNumId w:val="20"/>
  </w:num>
  <w:num w:numId="37">
    <w:abstractNumId w:val="10"/>
  </w:num>
  <w:num w:numId="38">
    <w:abstractNumId w:val="11"/>
  </w:num>
  <w:num w:numId="39">
    <w:abstractNumId w:val="3"/>
  </w:num>
  <w:num w:numId="40">
    <w:abstractNumId w:val="27"/>
  </w:num>
  <w:num w:numId="41">
    <w:abstractNumId w:val="31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2756"/>
    <w:rsid w:val="00016756"/>
    <w:rsid w:val="000266A0"/>
    <w:rsid w:val="00062126"/>
    <w:rsid w:val="000A4A34"/>
    <w:rsid w:val="000D738A"/>
    <w:rsid w:val="001E14DB"/>
    <w:rsid w:val="0022122D"/>
    <w:rsid w:val="00263209"/>
    <w:rsid w:val="00291A6A"/>
    <w:rsid w:val="002B4CC3"/>
    <w:rsid w:val="00332856"/>
    <w:rsid w:val="00372786"/>
    <w:rsid w:val="00382291"/>
    <w:rsid w:val="0038525F"/>
    <w:rsid w:val="00392650"/>
    <w:rsid w:val="003A4DEF"/>
    <w:rsid w:val="003D0A7A"/>
    <w:rsid w:val="003D260F"/>
    <w:rsid w:val="003E2B20"/>
    <w:rsid w:val="00425FA9"/>
    <w:rsid w:val="00451C38"/>
    <w:rsid w:val="00452B00"/>
    <w:rsid w:val="00485E96"/>
    <w:rsid w:val="004B1463"/>
    <w:rsid w:val="004C02E7"/>
    <w:rsid w:val="00511467"/>
    <w:rsid w:val="005F5695"/>
    <w:rsid w:val="005F68F5"/>
    <w:rsid w:val="006F0419"/>
    <w:rsid w:val="00717739"/>
    <w:rsid w:val="00726D3C"/>
    <w:rsid w:val="00727877"/>
    <w:rsid w:val="007B2D27"/>
    <w:rsid w:val="007D1A79"/>
    <w:rsid w:val="007F4A89"/>
    <w:rsid w:val="008C19DC"/>
    <w:rsid w:val="008F245B"/>
    <w:rsid w:val="008F5252"/>
    <w:rsid w:val="0095490C"/>
    <w:rsid w:val="00962AE2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E194C"/>
    <w:rsid w:val="00B36CB2"/>
    <w:rsid w:val="00B638A8"/>
    <w:rsid w:val="00BE2885"/>
    <w:rsid w:val="00C36EFB"/>
    <w:rsid w:val="00D85DB7"/>
    <w:rsid w:val="00DA1347"/>
    <w:rsid w:val="00DA55BB"/>
    <w:rsid w:val="00DE25AE"/>
    <w:rsid w:val="00DF77DF"/>
    <w:rsid w:val="00E442F5"/>
    <w:rsid w:val="00EB1CB8"/>
    <w:rsid w:val="00F11141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7DD9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56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56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9519-BF9E-47E0-9F76-D68CA47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7</cp:revision>
  <cp:lastPrinted>2020-05-26T22:21:00Z</cp:lastPrinted>
  <dcterms:created xsi:type="dcterms:W3CDTF">2020-05-26T22:22:00Z</dcterms:created>
  <dcterms:modified xsi:type="dcterms:W3CDTF">2020-06-03T17:31:00Z</dcterms:modified>
</cp:coreProperties>
</file>